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F7BD" w14:textId="46EAE998" w:rsidR="00B361B1" w:rsidRDefault="00886398" w:rsidP="00B361B1">
      <w:pPr>
        <w:pStyle w:val="Heading1"/>
      </w:pPr>
      <w:r>
        <w:t>Adding Electronic Portfolios to a Collection as a Set</w:t>
      </w:r>
    </w:p>
    <w:p w14:paraId="3D1036EC" w14:textId="77777777" w:rsidR="00886398" w:rsidRPr="00886398" w:rsidRDefault="00886398" w:rsidP="00886398"/>
    <w:p w14:paraId="44F226E0" w14:textId="2164507B" w:rsidR="00B361B1" w:rsidRDefault="00B361B1" w:rsidP="00B361B1">
      <w:pPr>
        <w:pStyle w:val="ListParagraph"/>
        <w:numPr>
          <w:ilvl w:val="0"/>
          <w:numId w:val="1"/>
        </w:numPr>
      </w:pPr>
      <w:r>
        <w:t>Find the electronic portfolios by keyword searching the URL</w:t>
      </w:r>
      <w:r w:rsidR="002A684E">
        <w:t>, and “is standalone” equals Yes.</w:t>
      </w:r>
    </w:p>
    <w:p w14:paraId="18CA30D3" w14:textId="25DE09CA" w:rsidR="00B361B1" w:rsidRDefault="00EE49FB" w:rsidP="00B361B1">
      <w:pPr>
        <w:ind w:left="360"/>
      </w:pPr>
      <w:r w:rsidRPr="00EE49FB">
        <w:rPr>
          <w:noProof/>
        </w:rPr>
        <w:drawing>
          <wp:inline distT="0" distB="0" distL="0" distR="0" wp14:anchorId="522A5FBA" wp14:editId="31309618">
            <wp:extent cx="6858000" cy="1300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FD324" w14:textId="7193A407" w:rsidR="00B361B1" w:rsidRDefault="00B361B1" w:rsidP="00CF27E4">
      <w:pPr>
        <w:ind w:left="1080"/>
      </w:pPr>
      <w:r>
        <w:t>Save the portfolios as a set by clicking Save</w:t>
      </w:r>
      <w:r w:rsidR="00D40DF8">
        <w:t xml:space="preserve"> and Filter</w:t>
      </w:r>
      <w:r>
        <w:t xml:space="preserve"> Query.</w:t>
      </w:r>
    </w:p>
    <w:p w14:paraId="19C53AF8" w14:textId="77777777" w:rsidR="00B361B1" w:rsidRDefault="00B361B1" w:rsidP="00B361B1">
      <w:pPr>
        <w:ind w:left="1080"/>
      </w:pPr>
      <w:r>
        <w:t>Give the set a name and click Save.</w:t>
      </w:r>
    </w:p>
    <w:p w14:paraId="38538F36" w14:textId="03E960F3" w:rsidR="00B361B1" w:rsidRDefault="00B361B1" w:rsidP="00B361B1">
      <w:pPr>
        <w:pStyle w:val="ListParagraph"/>
        <w:numPr>
          <w:ilvl w:val="0"/>
          <w:numId w:val="1"/>
        </w:numPr>
      </w:pPr>
      <w:r>
        <w:t>Next, create a local electronic collection. Click on Resources &gt; Add Local Electronic Collection</w:t>
      </w:r>
      <w:r w:rsidR="000238CB">
        <w:t>.</w:t>
      </w:r>
    </w:p>
    <w:p w14:paraId="78A9D71E" w14:textId="77777777" w:rsidR="00B361B1" w:rsidRDefault="00B361B1" w:rsidP="00B361B1">
      <w:pPr>
        <w:ind w:left="1080"/>
      </w:pPr>
      <w:r>
        <w:t>Give the local electronic collection a name, select the collection type and service type.</w:t>
      </w:r>
    </w:p>
    <w:p w14:paraId="26AE8533" w14:textId="77777777" w:rsidR="00B361B1" w:rsidRDefault="00B361B1" w:rsidP="00B361B1">
      <w:pPr>
        <w:ind w:left="1080"/>
      </w:pPr>
      <w:r w:rsidRPr="005D52B6">
        <w:rPr>
          <w:noProof/>
        </w:rPr>
        <w:drawing>
          <wp:inline distT="0" distB="0" distL="0" distR="0" wp14:anchorId="794B1023" wp14:editId="4FB70447">
            <wp:extent cx="4291321" cy="2609850"/>
            <wp:effectExtent l="19050" t="19050" r="14605" b="190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547" cy="26264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038AD34" w14:textId="77777777" w:rsidR="00B361B1" w:rsidRDefault="00B361B1" w:rsidP="00B361B1">
      <w:pPr>
        <w:ind w:left="1080"/>
      </w:pPr>
      <w:r>
        <w:t>Save and continue.</w:t>
      </w:r>
    </w:p>
    <w:p w14:paraId="695955CA" w14:textId="77777777" w:rsidR="00B361B1" w:rsidRDefault="00B361B1" w:rsidP="00B361B1">
      <w:pPr>
        <w:ind w:left="1080"/>
      </w:pPr>
      <w:r>
        <w:t>The electronic service editor page comes up. Make sure the service activation status is set to available.</w:t>
      </w:r>
    </w:p>
    <w:p w14:paraId="233D258A" w14:textId="03F2D24C" w:rsidR="00B361B1" w:rsidRDefault="00B361B1" w:rsidP="00B361B1">
      <w:pPr>
        <w:ind w:left="1080"/>
      </w:pPr>
      <w:r>
        <w:t xml:space="preserve">Click on the </w:t>
      </w:r>
      <w:r w:rsidRPr="000915D0">
        <w:rPr>
          <w:b/>
          <w:bCs/>
        </w:rPr>
        <w:t>Linking</w:t>
      </w:r>
      <w:r>
        <w:t xml:space="preserve"> tab. Make sure Proxy enabled is set to </w:t>
      </w:r>
      <w:r w:rsidR="003C3CB9">
        <w:t>yes and</w:t>
      </w:r>
      <w:r>
        <w:t xml:space="preserve"> select the proxy.</w:t>
      </w:r>
    </w:p>
    <w:p w14:paraId="7BD5DBF9" w14:textId="23923CD2" w:rsidR="00B361B1" w:rsidRDefault="00B84FB4" w:rsidP="00B361B1">
      <w:pPr>
        <w:ind w:left="1080"/>
      </w:pPr>
      <w:r w:rsidRPr="00B84FB4">
        <w:rPr>
          <w:noProof/>
        </w:rPr>
        <w:drawing>
          <wp:inline distT="0" distB="0" distL="0" distR="0" wp14:anchorId="130BCF4C" wp14:editId="12FA67CA">
            <wp:extent cx="4886327" cy="788896"/>
            <wp:effectExtent l="0" t="0" r="0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4734" cy="79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4CC2D" w14:textId="2BCE4F15" w:rsidR="00B361B1" w:rsidRDefault="00B361B1" w:rsidP="00B361B1">
      <w:pPr>
        <w:ind w:left="1080"/>
      </w:pPr>
      <w:r>
        <w:t xml:space="preserve">Click on the </w:t>
      </w:r>
      <w:r w:rsidRPr="00CF44AF">
        <w:rPr>
          <w:b/>
          <w:bCs/>
        </w:rPr>
        <w:t xml:space="preserve">Portfolios </w:t>
      </w:r>
      <w:r>
        <w:t>tab. Click on the Add link and select Add from Set.</w:t>
      </w:r>
    </w:p>
    <w:p w14:paraId="73F9C9C3" w14:textId="77777777" w:rsidR="00B361B1" w:rsidRDefault="00B361B1" w:rsidP="00B361B1">
      <w:pPr>
        <w:ind w:left="1080"/>
      </w:pPr>
      <w:r w:rsidRPr="00AC3E6F">
        <w:rPr>
          <w:noProof/>
        </w:rPr>
        <w:lastRenderedPageBreak/>
        <w:drawing>
          <wp:inline distT="0" distB="0" distL="0" distR="0" wp14:anchorId="520B0B49" wp14:editId="0CBCE35D">
            <wp:extent cx="2067213" cy="1305107"/>
            <wp:effectExtent l="19050" t="19050" r="28575" b="285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7213" cy="13051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0BE41DD" w14:textId="73DB7100" w:rsidR="00B361B1" w:rsidRDefault="00B361B1" w:rsidP="00B361B1">
      <w:pPr>
        <w:ind w:left="1080"/>
      </w:pPr>
      <w:r>
        <w:t xml:space="preserve">Select the set of portfolios and click Submit. </w:t>
      </w:r>
    </w:p>
    <w:p w14:paraId="2DF19739" w14:textId="7DC421F0" w:rsidR="00B361B1" w:rsidRDefault="00A95766" w:rsidP="00B361B1">
      <w:pPr>
        <w:ind w:left="1080"/>
      </w:pPr>
      <w:r>
        <w:t>T</w:t>
      </w:r>
      <w:r w:rsidR="00B361B1">
        <w:t>he portfolios have been added to the collection:</w:t>
      </w:r>
    </w:p>
    <w:p w14:paraId="28433AAD" w14:textId="77777777" w:rsidR="00B361B1" w:rsidRDefault="00B361B1" w:rsidP="00B361B1">
      <w:pPr>
        <w:ind w:left="720"/>
      </w:pPr>
      <w:r w:rsidRPr="001C46A2">
        <w:rPr>
          <w:noProof/>
        </w:rPr>
        <w:drawing>
          <wp:inline distT="0" distB="0" distL="0" distR="0" wp14:anchorId="456B1338" wp14:editId="37CD1A2B">
            <wp:extent cx="6276975" cy="734639"/>
            <wp:effectExtent l="19050" t="19050" r="9525" b="279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1155" cy="74332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62ED7F0" w14:textId="2E2E9FFB" w:rsidR="00B361B1" w:rsidRDefault="00B361B1" w:rsidP="00B361B1">
      <w:pPr>
        <w:ind w:left="1440"/>
      </w:pPr>
      <w:r>
        <w:t>Click Save to save the service and click save again to save the electronic collection.</w:t>
      </w:r>
    </w:p>
    <w:p w14:paraId="3E1EEAE7" w14:textId="40901C4A" w:rsidR="00B361B1" w:rsidRDefault="00B361B1" w:rsidP="00B361B1">
      <w:pPr>
        <w:ind w:left="1440"/>
      </w:pPr>
      <w:r>
        <w:t xml:space="preserve">Here is our new local electronic collection: </w:t>
      </w:r>
    </w:p>
    <w:p w14:paraId="43267C28" w14:textId="77777777" w:rsidR="00B361B1" w:rsidRDefault="00B361B1" w:rsidP="00B361B1">
      <w:pPr>
        <w:ind w:left="720"/>
      </w:pPr>
      <w:r w:rsidRPr="003628DF">
        <w:rPr>
          <w:noProof/>
        </w:rPr>
        <w:drawing>
          <wp:inline distT="0" distB="0" distL="0" distR="0" wp14:anchorId="5271C0C2" wp14:editId="70FCA3D9">
            <wp:extent cx="6096000" cy="1445903"/>
            <wp:effectExtent l="19050" t="19050" r="19050" b="209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35884" cy="145536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675D503" w14:textId="4B1EFDAD" w:rsidR="00B361B1" w:rsidRDefault="0050522E" w:rsidP="00B361B1">
      <w:pPr>
        <w:pStyle w:val="ListParagraph"/>
        <w:numPr>
          <w:ilvl w:val="0"/>
          <w:numId w:val="1"/>
        </w:numPr>
      </w:pPr>
      <w:r>
        <w:t xml:space="preserve">If the portfolios have proxy information in them, </w:t>
      </w:r>
      <w:r w:rsidR="00B361B1">
        <w:t>run a job on the set of portfolios to remove the proxy information.</w:t>
      </w:r>
    </w:p>
    <w:p w14:paraId="61799CB2" w14:textId="77777777" w:rsidR="00B361B1" w:rsidRDefault="00B361B1" w:rsidP="00B361B1">
      <w:pPr>
        <w:ind w:left="1080"/>
      </w:pPr>
      <w:r>
        <w:t>Click Admin &gt; Run a Job.</w:t>
      </w:r>
    </w:p>
    <w:p w14:paraId="117D32E2" w14:textId="77777777" w:rsidR="00B361B1" w:rsidRDefault="00B361B1" w:rsidP="00B361B1">
      <w:pPr>
        <w:ind w:left="1080"/>
      </w:pPr>
      <w:r>
        <w:t>Select “Change electronic portfolio information.” Click Next.</w:t>
      </w:r>
    </w:p>
    <w:p w14:paraId="0B15AFE4" w14:textId="77777777" w:rsidR="00B361B1" w:rsidRDefault="00B361B1" w:rsidP="00B361B1">
      <w:pPr>
        <w:ind w:left="360"/>
      </w:pPr>
      <w:r w:rsidRPr="00DF0919">
        <w:rPr>
          <w:noProof/>
        </w:rPr>
        <w:drawing>
          <wp:inline distT="0" distB="0" distL="0" distR="0" wp14:anchorId="27269FB7" wp14:editId="0FC9E7E8">
            <wp:extent cx="6858000" cy="1635760"/>
            <wp:effectExtent l="19050" t="19050" r="19050" b="2159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357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A09829C" w14:textId="0E16B888" w:rsidR="00B361B1" w:rsidRDefault="00B361B1" w:rsidP="00B361B1">
      <w:pPr>
        <w:ind w:left="1440"/>
      </w:pPr>
      <w:r>
        <w:t xml:space="preserve">Select </w:t>
      </w:r>
      <w:r w:rsidR="005B7DBB">
        <w:t>the</w:t>
      </w:r>
      <w:r>
        <w:t xml:space="preserve"> set of portfolios- you can use the same one you used to add portfolios to the collection. Click Next.</w:t>
      </w:r>
    </w:p>
    <w:p w14:paraId="39E49122" w14:textId="127FEA4C" w:rsidR="00B361B1" w:rsidRDefault="00B361B1" w:rsidP="00B361B1">
      <w:pPr>
        <w:ind w:left="360"/>
      </w:pPr>
      <w:r>
        <w:t>Find the line: Delete or replace url’s prefix, and type in the proxy information to remove in the box. Leave the With box blank. Click Next.</w:t>
      </w:r>
    </w:p>
    <w:p w14:paraId="10A0A5DD" w14:textId="77777777" w:rsidR="00B361B1" w:rsidRDefault="00B361B1" w:rsidP="00B361B1">
      <w:pPr>
        <w:ind w:left="360"/>
      </w:pPr>
      <w:r w:rsidRPr="00AC66AC">
        <w:rPr>
          <w:noProof/>
        </w:rPr>
        <w:lastRenderedPageBreak/>
        <w:drawing>
          <wp:inline distT="0" distB="0" distL="0" distR="0" wp14:anchorId="4FD25A24" wp14:editId="53D8ED05">
            <wp:extent cx="6858000" cy="400685"/>
            <wp:effectExtent l="19050" t="19050" r="19050" b="184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06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E07C0F6" w14:textId="2DBE7E73" w:rsidR="00B361B1" w:rsidRDefault="00B361B1" w:rsidP="00B361B1">
      <w:pPr>
        <w:ind w:left="1440"/>
      </w:pPr>
      <w:r>
        <w:t>On the next screen</w:t>
      </w:r>
      <w:r w:rsidR="00C7460B">
        <w:t xml:space="preserve">, </w:t>
      </w:r>
      <w:r>
        <w:t xml:space="preserve">review </w:t>
      </w:r>
      <w:r w:rsidR="00490B85">
        <w:t>the</w:t>
      </w:r>
      <w:r>
        <w:t xml:space="preserve"> job settings. Click Submit.</w:t>
      </w:r>
    </w:p>
    <w:p w14:paraId="0A82879E" w14:textId="7A9354BD" w:rsidR="00B361B1" w:rsidRDefault="00B361B1" w:rsidP="00B361B1">
      <w:pPr>
        <w:ind w:left="1440"/>
      </w:pPr>
      <w:r>
        <w:t xml:space="preserve">To verify </w:t>
      </w:r>
      <w:r w:rsidR="00490B85">
        <w:t>the</w:t>
      </w:r>
      <w:r>
        <w:t xml:space="preserve"> changes, find</w:t>
      </w:r>
      <w:r w:rsidR="00490B85">
        <w:t xml:space="preserve"> the</w:t>
      </w:r>
      <w:r>
        <w:t xml:space="preserve"> electronic collection: </w:t>
      </w:r>
    </w:p>
    <w:p w14:paraId="4C9981C1" w14:textId="77777777" w:rsidR="00B361B1" w:rsidRDefault="00B361B1" w:rsidP="00B361B1">
      <w:pPr>
        <w:ind w:left="1440"/>
      </w:pPr>
      <w:r w:rsidRPr="001E74C7">
        <w:rPr>
          <w:noProof/>
        </w:rPr>
        <w:drawing>
          <wp:inline distT="0" distB="0" distL="0" distR="0" wp14:anchorId="4409BFC5" wp14:editId="450EB212">
            <wp:extent cx="5382376" cy="419158"/>
            <wp:effectExtent l="19050" t="19050" r="27940" b="190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41915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8139C49" w14:textId="14574838" w:rsidR="00B361B1" w:rsidRDefault="00B361B1" w:rsidP="00B361B1">
      <w:pPr>
        <w:ind w:left="1440"/>
      </w:pPr>
      <w:r>
        <w:t xml:space="preserve">Click on the Portfolio list and click Edit Portfolio to see if the proxy information has been removed. This is </w:t>
      </w:r>
      <w:r w:rsidR="00C813BC">
        <w:t xml:space="preserve">correct </w:t>
      </w:r>
      <w:r>
        <w:t>because the proxy is set up at the service level in the collection.</w:t>
      </w:r>
    </w:p>
    <w:p w14:paraId="635F67D2" w14:textId="2F73869D" w:rsidR="00B361B1" w:rsidRPr="00AA5F02" w:rsidRDefault="00B361B1" w:rsidP="00332298">
      <w:pPr>
        <w:ind w:left="720"/>
        <w:rPr>
          <w:b/>
          <w:bCs/>
        </w:rPr>
      </w:pPr>
      <w:r w:rsidRPr="00AA5F02">
        <w:rPr>
          <w:b/>
          <w:bCs/>
        </w:rPr>
        <w:t>Optional</w:t>
      </w:r>
      <w:r w:rsidR="00AA5F02" w:rsidRPr="00AA5F02">
        <w:rPr>
          <w:b/>
          <w:bCs/>
        </w:rPr>
        <w:t>:</w:t>
      </w:r>
      <w:r w:rsidRPr="00AA5F02">
        <w:rPr>
          <w:b/>
          <w:bCs/>
        </w:rPr>
        <w:t xml:space="preserve"> </w:t>
      </w:r>
      <w:r w:rsidR="00AA5F02" w:rsidRPr="00AA5F02">
        <w:rPr>
          <w:b/>
          <w:bCs/>
        </w:rPr>
        <w:t>L</w:t>
      </w:r>
      <w:r w:rsidRPr="00AA5F02">
        <w:rPr>
          <w:b/>
          <w:bCs/>
        </w:rPr>
        <w:t>ink the collection to the Community Zone.</w:t>
      </w:r>
    </w:p>
    <w:p w14:paraId="5E1ED22E" w14:textId="77777777" w:rsidR="00B361B1" w:rsidRDefault="00B361B1" w:rsidP="00B361B1">
      <w:pPr>
        <w:ind w:left="1440"/>
      </w:pPr>
      <w:r>
        <w:t>Click the row action menu and select “Link to community.”</w:t>
      </w:r>
    </w:p>
    <w:p w14:paraId="5F722851" w14:textId="77777777" w:rsidR="00B361B1" w:rsidRDefault="00B361B1" w:rsidP="00B361B1">
      <w:pPr>
        <w:ind w:left="1440"/>
      </w:pPr>
      <w:r w:rsidRPr="002F00E9">
        <w:rPr>
          <w:noProof/>
        </w:rPr>
        <w:drawing>
          <wp:inline distT="0" distB="0" distL="0" distR="0" wp14:anchorId="5FD23DA5" wp14:editId="1F93CC5E">
            <wp:extent cx="1200150" cy="2044948"/>
            <wp:effectExtent l="19050" t="19050" r="19050" b="1270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1197" cy="20637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981A410" w14:textId="225DF849" w:rsidR="00B361B1" w:rsidRDefault="00B361B1" w:rsidP="00B361B1">
      <w:pPr>
        <w:ind w:left="1440"/>
      </w:pPr>
      <w:r>
        <w:t xml:space="preserve">Under the Community information section, search for the electronic collection name </w:t>
      </w:r>
      <w:r w:rsidR="009A06A2">
        <w:t>to link to</w:t>
      </w:r>
      <w:r>
        <w:t>.</w:t>
      </w:r>
    </w:p>
    <w:p w14:paraId="3D7FBE39" w14:textId="77777777" w:rsidR="00B361B1" w:rsidRDefault="00B361B1" w:rsidP="00B361B1">
      <w:pPr>
        <w:ind w:left="1440"/>
      </w:pPr>
      <w:r w:rsidRPr="00AB07F8">
        <w:rPr>
          <w:noProof/>
        </w:rPr>
        <w:drawing>
          <wp:inline distT="0" distB="0" distL="0" distR="0" wp14:anchorId="0413FB6F" wp14:editId="0DA1772B">
            <wp:extent cx="5476875" cy="602456"/>
            <wp:effectExtent l="19050" t="19050" r="9525" b="266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5295" cy="6165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8B16453" w14:textId="29CB4375" w:rsidR="00B361B1" w:rsidRDefault="00B361B1" w:rsidP="00B361B1">
      <w:pPr>
        <w:ind w:left="1440"/>
      </w:pPr>
      <w:r>
        <w:t>When the collection</w:t>
      </w:r>
      <w:r w:rsidR="00516081">
        <w:t xml:space="preserve"> is found</w:t>
      </w:r>
      <w:r>
        <w:t>, click on it and it is inserted into the field along with the Type and interface name.</w:t>
      </w:r>
    </w:p>
    <w:p w14:paraId="7862B943" w14:textId="77777777" w:rsidR="00B361B1" w:rsidRDefault="00B361B1" w:rsidP="00B361B1">
      <w:pPr>
        <w:ind w:left="1440"/>
      </w:pPr>
      <w:r w:rsidRPr="00170979">
        <w:rPr>
          <w:noProof/>
        </w:rPr>
        <w:drawing>
          <wp:inline distT="0" distB="0" distL="0" distR="0" wp14:anchorId="066555B0" wp14:editId="7894E2BA">
            <wp:extent cx="5572126" cy="1526385"/>
            <wp:effectExtent l="19050" t="19050" r="9525" b="1714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77744" cy="155531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E6A3BDE" w14:textId="644D319A" w:rsidR="00B361B1" w:rsidRDefault="00B361B1" w:rsidP="00B361B1">
      <w:pPr>
        <w:ind w:left="1440"/>
      </w:pPr>
      <w:r>
        <w:t xml:space="preserve">The next section provides an option to use community zone records for our portfolios. </w:t>
      </w:r>
      <w:r w:rsidR="005779ED">
        <w:t>This will replace the local bibliographic records</w:t>
      </w:r>
      <w:r w:rsidR="00167021">
        <w:t xml:space="preserve"> for the portfolios with those from the Community Zone. </w:t>
      </w:r>
    </w:p>
    <w:p w14:paraId="4C87AFA8" w14:textId="77777777" w:rsidR="00B361B1" w:rsidRDefault="00B361B1" w:rsidP="00B361B1">
      <w:pPr>
        <w:ind w:left="1440"/>
      </w:pPr>
      <w:r w:rsidRPr="00CE1867">
        <w:rPr>
          <w:noProof/>
        </w:rPr>
        <w:lastRenderedPageBreak/>
        <w:drawing>
          <wp:inline distT="0" distB="0" distL="0" distR="0" wp14:anchorId="02CAF6B4" wp14:editId="3F67180E">
            <wp:extent cx="2818642" cy="981075"/>
            <wp:effectExtent l="19050" t="19050" r="2032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32057" cy="9857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C6A8B30" w14:textId="3F1C21A3" w:rsidR="00B361B1" w:rsidRDefault="00B361B1" w:rsidP="00B361B1">
      <w:pPr>
        <w:ind w:left="1440"/>
      </w:pPr>
      <w:r>
        <w:t xml:space="preserve">Click Link. </w:t>
      </w:r>
      <w:r w:rsidR="00205F49">
        <w:t>A</w:t>
      </w:r>
      <w:r>
        <w:t xml:space="preserve"> confirmation warning </w:t>
      </w:r>
      <w:r w:rsidR="00A82411">
        <w:t xml:space="preserve">appears </w:t>
      </w:r>
      <w:r>
        <w:t>reminding you of the actions that will</w:t>
      </w:r>
      <w:r w:rsidR="00A82411">
        <w:t xml:space="preserve"> take place</w:t>
      </w:r>
      <w:r>
        <w:t>. Click Confirm. This starts a job to link the collection and portfolios to the CZ.</w:t>
      </w:r>
    </w:p>
    <w:p w14:paraId="6E6A6B07" w14:textId="018D3C9D" w:rsidR="00B361B1" w:rsidRDefault="00F03450" w:rsidP="00B361B1">
      <w:pPr>
        <w:ind w:left="1440"/>
      </w:pPr>
      <w:r>
        <w:t>Once the collection is linked, the blue “two heads” icon indicates the collection is now linked.</w:t>
      </w:r>
    </w:p>
    <w:p w14:paraId="0398ED66" w14:textId="77777777" w:rsidR="00B361B1" w:rsidRDefault="00B361B1" w:rsidP="00B361B1">
      <w:pPr>
        <w:ind w:left="1440"/>
      </w:pPr>
      <w:r w:rsidRPr="003A69B4">
        <w:rPr>
          <w:noProof/>
        </w:rPr>
        <w:drawing>
          <wp:inline distT="0" distB="0" distL="0" distR="0" wp14:anchorId="7112A18F" wp14:editId="72CCDEEF">
            <wp:extent cx="5091711" cy="2133600"/>
            <wp:effectExtent l="19050" t="19050" r="13970" b="190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20982" cy="21458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C0AC9F1" w14:textId="77777777" w:rsidR="00B361B1" w:rsidRDefault="00B361B1" w:rsidP="00B361B1">
      <w:pPr>
        <w:pStyle w:val="ListParagraph"/>
        <w:ind w:left="0"/>
      </w:pPr>
    </w:p>
    <w:p w14:paraId="7FCF425F" w14:textId="77777777" w:rsidR="00B361B1" w:rsidRDefault="00B361B1"/>
    <w:sectPr w:rsidR="00B361B1" w:rsidSect="00B361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317F2"/>
    <w:multiLevelType w:val="hybridMultilevel"/>
    <w:tmpl w:val="F45645A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B1"/>
    <w:rsid w:val="000238CB"/>
    <w:rsid w:val="00167021"/>
    <w:rsid w:val="00205F49"/>
    <w:rsid w:val="002A684E"/>
    <w:rsid w:val="00332298"/>
    <w:rsid w:val="003C3CB9"/>
    <w:rsid w:val="00490B85"/>
    <w:rsid w:val="0050522E"/>
    <w:rsid w:val="00516081"/>
    <w:rsid w:val="005779ED"/>
    <w:rsid w:val="005B7DBB"/>
    <w:rsid w:val="007E37F9"/>
    <w:rsid w:val="00886398"/>
    <w:rsid w:val="009A06A2"/>
    <w:rsid w:val="00A2284B"/>
    <w:rsid w:val="00A82411"/>
    <w:rsid w:val="00A95766"/>
    <w:rsid w:val="00AA5F02"/>
    <w:rsid w:val="00B361B1"/>
    <w:rsid w:val="00B84FB4"/>
    <w:rsid w:val="00C7460B"/>
    <w:rsid w:val="00C813BC"/>
    <w:rsid w:val="00CF27E4"/>
    <w:rsid w:val="00D40DF8"/>
    <w:rsid w:val="00EE49FB"/>
    <w:rsid w:val="00F0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1E5D4"/>
  <w15:chartTrackingRefBased/>
  <w15:docId w15:val="{D6218D87-95E5-48CA-8DD0-D2E554EB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6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1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61B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6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26</cp:revision>
  <dcterms:created xsi:type="dcterms:W3CDTF">2021-02-12T15:14:00Z</dcterms:created>
  <dcterms:modified xsi:type="dcterms:W3CDTF">2022-02-22T20:16:00Z</dcterms:modified>
</cp:coreProperties>
</file>